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B5502">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9B5502">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0D59FE" w:rsidRDefault="000F3249">
      <w:pPr>
        <w:pBdr>
          <w:top w:val="nil"/>
          <w:left w:val="nil"/>
          <w:bottom w:val="nil"/>
          <w:right w:val="nil"/>
          <w:between w:val="nil"/>
        </w:pBdr>
        <w:spacing w:after="0" w:line="240" w:lineRule="auto"/>
        <w:jc w:val="both"/>
        <w:rPr>
          <w:rFonts w:ascii="Arial" w:eastAsia="Arial" w:hAnsi="Arial" w:cs="Arial"/>
          <w:b/>
          <w:color w:val="000000"/>
          <w:sz w:val="23"/>
          <w:szCs w:val="23"/>
        </w:rPr>
      </w:pPr>
      <w:r w:rsidRPr="000D59FE">
        <w:rPr>
          <w:rFonts w:ascii="Arial" w:eastAsia="Arial" w:hAnsi="Arial" w:cs="Arial"/>
          <w:b/>
          <w:color w:val="000000"/>
          <w:sz w:val="23"/>
          <w:szCs w:val="23"/>
        </w:rPr>
        <w:t xml:space="preserve">TEXTO DEFINITIVO APROBADO EN PRIMER DEBATE DEL </w:t>
      </w:r>
      <w:r w:rsidRPr="000D59FE">
        <w:rPr>
          <w:rFonts w:ascii="Arial" w:eastAsia="Arial" w:hAnsi="Arial" w:cs="Arial"/>
          <w:b/>
          <w:sz w:val="23"/>
          <w:szCs w:val="23"/>
        </w:rPr>
        <w:t xml:space="preserve">PROYECTO DE LEY </w:t>
      </w:r>
      <w:r w:rsidR="0049721E" w:rsidRPr="00E070C9">
        <w:rPr>
          <w:rFonts w:ascii="Arial" w:eastAsiaTheme="minorHAnsi" w:hAnsi="Arial" w:cstheme="minorBidi"/>
          <w:b/>
          <w:bCs/>
          <w:lang w:eastAsia="en-US"/>
        </w:rPr>
        <w:t>No</w:t>
      </w:r>
      <w:r w:rsidR="0049721E" w:rsidRPr="00E070C9">
        <w:rPr>
          <w:rFonts w:ascii="Arial" w:eastAsiaTheme="minorHAnsi" w:hAnsi="Arial" w:cstheme="minorBidi"/>
          <w:b/>
          <w:lang w:eastAsia="en-US"/>
        </w:rPr>
        <w:t xml:space="preserve">. </w:t>
      </w:r>
      <w:r w:rsidR="0049721E" w:rsidRPr="00E070C9">
        <w:rPr>
          <w:rFonts w:ascii="Arial" w:eastAsiaTheme="minorHAnsi" w:hAnsi="Arial" w:cstheme="minorBidi"/>
          <w:b/>
          <w:bCs/>
          <w:lang w:eastAsia="en-US"/>
        </w:rPr>
        <w:t xml:space="preserve">208 DE 2024 CÁMARA – 034 DE 2023 SENADO </w:t>
      </w:r>
      <w:r w:rsidR="0049721E" w:rsidRPr="00E070C9">
        <w:rPr>
          <w:rFonts w:ascii="Arial" w:eastAsiaTheme="minorHAnsi" w:hAnsi="Arial" w:cstheme="minorBidi"/>
          <w:b/>
          <w:lang w:eastAsia="en-US"/>
        </w:rPr>
        <w:t>“POR MEDIO DE LA CUAL SE DISPONE LA INSTALACIÓN OBLIGATORIA DE BEBEDEROS DE AGUA POTABLE EN ÁREAS DE USO DOTACIONAL Y EN EL ESPACIO PÚBLICO”.</w:t>
      </w:r>
    </w:p>
    <w:p w:rsidR="00931B69" w:rsidRPr="000D59FE" w:rsidRDefault="00931B69" w:rsidP="009A5477">
      <w:pPr>
        <w:pStyle w:val="Sinespaciado"/>
        <w:jc w:val="center"/>
        <w:rPr>
          <w:rFonts w:cs="Arial"/>
          <w:sz w:val="23"/>
          <w:szCs w:val="23"/>
        </w:rPr>
      </w:pPr>
    </w:p>
    <w:p w:rsidR="00900D93" w:rsidRPr="000D59FE" w:rsidRDefault="000F3249" w:rsidP="009A5477">
      <w:pPr>
        <w:pStyle w:val="Sinespaciado"/>
        <w:jc w:val="center"/>
        <w:rPr>
          <w:rFonts w:cs="Arial"/>
          <w:sz w:val="23"/>
          <w:szCs w:val="23"/>
        </w:rPr>
      </w:pPr>
      <w:r w:rsidRPr="000D59FE">
        <w:rPr>
          <w:rFonts w:cs="Arial"/>
          <w:sz w:val="23"/>
          <w:szCs w:val="23"/>
        </w:rPr>
        <w:t>(Aprobado en la</w:t>
      </w:r>
      <w:r w:rsidR="00722B7D" w:rsidRPr="000D59FE">
        <w:rPr>
          <w:rFonts w:cs="Arial"/>
          <w:sz w:val="23"/>
          <w:szCs w:val="23"/>
        </w:rPr>
        <w:t xml:space="preserve"> sesión</w:t>
      </w:r>
      <w:r w:rsidR="00874E4E" w:rsidRPr="000D59FE">
        <w:rPr>
          <w:rFonts w:cs="Arial"/>
          <w:sz w:val="23"/>
          <w:szCs w:val="23"/>
        </w:rPr>
        <w:t xml:space="preserve"> presencial </w:t>
      </w:r>
      <w:r w:rsidR="00722B7D" w:rsidRPr="000D59FE">
        <w:rPr>
          <w:rFonts w:cs="Arial"/>
          <w:sz w:val="23"/>
          <w:szCs w:val="23"/>
        </w:rPr>
        <w:t>del</w:t>
      </w:r>
      <w:r w:rsidR="00874E4E" w:rsidRPr="000D59FE">
        <w:rPr>
          <w:rFonts w:cs="Arial"/>
          <w:sz w:val="23"/>
          <w:szCs w:val="23"/>
        </w:rPr>
        <w:t xml:space="preserve"> </w:t>
      </w:r>
      <w:r w:rsidR="0049721E">
        <w:rPr>
          <w:rFonts w:cs="Arial"/>
          <w:sz w:val="23"/>
          <w:szCs w:val="23"/>
        </w:rPr>
        <w:t xml:space="preserve">26 </w:t>
      </w:r>
      <w:r w:rsidR="00874E4E" w:rsidRPr="000D59FE">
        <w:rPr>
          <w:rFonts w:cs="Arial"/>
          <w:sz w:val="23"/>
          <w:szCs w:val="23"/>
        </w:rPr>
        <w:t>de marzo</w:t>
      </w:r>
      <w:r w:rsidRPr="000D59FE">
        <w:rPr>
          <w:rFonts w:cs="Arial"/>
          <w:sz w:val="23"/>
          <w:szCs w:val="23"/>
        </w:rPr>
        <w:t xml:space="preserve"> </w:t>
      </w:r>
      <w:r w:rsidR="00344B4D" w:rsidRPr="000D59FE">
        <w:rPr>
          <w:rFonts w:cs="Arial"/>
          <w:sz w:val="23"/>
          <w:szCs w:val="23"/>
        </w:rPr>
        <w:t>de 202</w:t>
      </w:r>
      <w:r w:rsidR="00D7787B" w:rsidRPr="000D59FE">
        <w:rPr>
          <w:rFonts w:cs="Arial"/>
          <w:sz w:val="23"/>
          <w:szCs w:val="23"/>
        </w:rPr>
        <w:t>5</w:t>
      </w:r>
      <w:r w:rsidR="009A5477" w:rsidRPr="000D59FE">
        <w:rPr>
          <w:rFonts w:cs="Arial"/>
          <w:sz w:val="23"/>
          <w:szCs w:val="23"/>
        </w:rPr>
        <w:t xml:space="preserve">, Comisión VII Constitucional </w:t>
      </w:r>
      <w:r w:rsidRPr="000D59FE">
        <w:rPr>
          <w:rFonts w:cs="Arial"/>
          <w:sz w:val="23"/>
          <w:szCs w:val="23"/>
        </w:rPr>
        <w:t xml:space="preserve">Permanente de la H. Cámara de Representantes, </w:t>
      </w:r>
      <w:r w:rsidR="009A5477" w:rsidRPr="000D59FE">
        <w:rPr>
          <w:rFonts w:cs="Arial"/>
          <w:sz w:val="23"/>
          <w:szCs w:val="23"/>
        </w:rPr>
        <w:t>a</w:t>
      </w:r>
      <w:r w:rsidRPr="000D59FE">
        <w:rPr>
          <w:rFonts w:cs="Arial"/>
          <w:sz w:val="23"/>
          <w:szCs w:val="23"/>
        </w:rPr>
        <w:t xml:space="preserve">cta No. </w:t>
      </w:r>
      <w:r w:rsidR="00874E4E" w:rsidRPr="000D59FE">
        <w:rPr>
          <w:rFonts w:cs="Arial"/>
          <w:sz w:val="23"/>
          <w:szCs w:val="23"/>
        </w:rPr>
        <w:t>2</w:t>
      </w:r>
      <w:r w:rsidR="0049721E">
        <w:rPr>
          <w:rFonts w:cs="Arial"/>
          <w:sz w:val="23"/>
          <w:szCs w:val="23"/>
        </w:rPr>
        <w:t>3</w:t>
      </w:r>
      <w:r w:rsidRPr="000D59FE">
        <w:rPr>
          <w:rFonts w:cs="Arial"/>
          <w:sz w:val="23"/>
          <w:szCs w:val="23"/>
        </w:rPr>
        <w:t>)</w:t>
      </w:r>
    </w:p>
    <w:p w:rsidR="00900D93" w:rsidRPr="000D59FE" w:rsidRDefault="00900D93" w:rsidP="00D410FE">
      <w:pPr>
        <w:pBdr>
          <w:top w:val="nil"/>
          <w:left w:val="nil"/>
          <w:bottom w:val="nil"/>
          <w:right w:val="nil"/>
          <w:between w:val="nil"/>
        </w:pBdr>
        <w:spacing w:after="0" w:line="240" w:lineRule="atLeast"/>
        <w:jc w:val="both"/>
        <w:rPr>
          <w:rFonts w:ascii="Arial" w:eastAsia="Arial" w:hAnsi="Arial" w:cs="Arial"/>
          <w:color w:val="000000"/>
          <w:sz w:val="23"/>
          <w:szCs w:val="23"/>
        </w:rPr>
      </w:pPr>
    </w:p>
    <w:p w:rsidR="00900D93" w:rsidRPr="000D59FE" w:rsidRDefault="000F3249" w:rsidP="00D410FE">
      <w:pPr>
        <w:spacing w:before="240" w:after="0" w:line="240" w:lineRule="atLeast"/>
        <w:jc w:val="center"/>
        <w:rPr>
          <w:rFonts w:ascii="Arial" w:eastAsia="Arial" w:hAnsi="Arial" w:cs="Arial"/>
          <w:b/>
          <w:sz w:val="23"/>
          <w:szCs w:val="23"/>
        </w:rPr>
      </w:pPr>
      <w:r w:rsidRPr="000D59FE">
        <w:rPr>
          <w:rFonts w:ascii="Arial" w:eastAsia="Arial" w:hAnsi="Arial" w:cs="Arial"/>
          <w:b/>
          <w:sz w:val="23"/>
          <w:szCs w:val="23"/>
        </w:rPr>
        <w:t>EL CONGRESO DE COLOMBIA</w:t>
      </w:r>
    </w:p>
    <w:p w:rsidR="00900D93" w:rsidRPr="000D59FE" w:rsidRDefault="000F3249" w:rsidP="00D410FE">
      <w:pPr>
        <w:spacing w:before="240" w:after="0" w:line="240" w:lineRule="atLeast"/>
        <w:jc w:val="center"/>
        <w:rPr>
          <w:rFonts w:ascii="Arial" w:eastAsia="Arial" w:hAnsi="Arial" w:cs="Arial"/>
          <w:b/>
          <w:sz w:val="23"/>
          <w:szCs w:val="23"/>
        </w:rPr>
      </w:pPr>
      <w:r w:rsidRPr="000D59FE">
        <w:rPr>
          <w:rFonts w:ascii="Arial" w:eastAsia="Arial" w:hAnsi="Arial" w:cs="Arial"/>
          <w:b/>
          <w:sz w:val="23"/>
          <w:szCs w:val="23"/>
        </w:rPr>
        <w:t>DECRETA:</w:t>
      </w:r>
    </w:p>
    <w:p w:rsidR="00D410FE" w:rsidRPr="000D59FE" w:rsidRDefault="00D410FE" w:rsidP="00D410FE">
      <w:pPr>
        <w:pStyle w:val="Sinespaciado"/>
        <w:spacing w:line="240" w:lineRule="atLeast"/>
        <w:rPr>
          <w:sz w:val="23"/>
          <w:szCs w:val="23"/>
        </w:rPr>
      </w:pPr>
    </w:p>
    <w:p w:rsidR="0049721E" w:rsidRDefault="0049721E" w:rsidP="0049721E">
      <w:pPr>
        <w:pStyle w:val="Sinespaciado"/>
      </w:pPr>
      <w:r w:rsidRPr="00CC7A5A">
        <w:rPr>
          <w:b/>
          <w:bCs/>
        </w:rPr>
        <w:t>Artículo 1° Objeto.</w:t>
      </w:r>
      <w:r w:rsidRPr="00CC7A5A">
        <w:t xml:space="preserve"> Instalar bebederos de agua potable en</w:t>
      </w:r>
      <w:r>
        <w:t xml:space="preserve"> </w:t>
      </w:r>
      <w:r w:rsidRPr="00CC7A5A">
        <w:t xml:space="preserve">áreas de uso dotacional y en el espacio público del territorio nacional, con el fin de garantizar el acceso gratuito de este servicio a todos los ciudadanos, </w:t>
      </w:r>
      <w:r>
        <w:t xml:space="preserve">mascotas y población </w:t>
      </w:r>
      <w:r w:rsidRPr="00CC7A5A">
        <w:t>animal</w:t>
      </w:r>
      <w:r>
        <w:t xml:space="preserve"> de calle.</w:t>
      </w:r>
    </w:p>
    <w:p w:rsidR="0049721E" w:rsidRDefault="0049721E" w:rsidP="0049721E">
      <w:pPr>
        <w:pStyle w:val="Sinespaciado"/>
        <w:rPr>
          <w:b/>
          <w:bCs/>
        </w:rPr>
      </w:pPr>
    </w:p>
    <w:p w:rsidR="0049721E" w:rsidRDefault="0049721E" w:rsidP="0049721E">
      <w:pPr>
        <w:pStyle w:val="Sinespaciado"/>
      </w:pPr>
      <w:r>
        <w:rPr>
          <w:b/>
          <w:bCs/>
        </w:rPr>
        <w:t>A</w:t>
      </w:r>
      <w:r w:rsidRPr="00CC7A5A">
        <w:rPr>
          <w:b/>
          <w:bCs/>
        </w:rPr>
        <w:t xml:space="preserve">rtículo 2° Cantidad. </w:t>
      </w:r>
      <w:r w:rsidRPr="00CC7A5A">
        <w:t>La cantidad de bebederos de agua potable será determinada por la Secretaría de Planeación, o por la entidad competente para el ejercicio de esta función, teniendo en cuenta el Plan de Ordenamiento Territorial, la disponibilidad presupuestal y los criterios de necesidad, disponibilidad del recurso hídrico y número de habitantes y zonas densamente pobladas.</w:t>
      </w:r>
    </w:p>
    <w:p w:rsidR="0049721E" w:rsidRDefault="0049721E" w:rsidP="0049721E">
      <w:pPr>
        <w:pStyle w:val="Sinespaciado"/>
      </w:pPr>
    </w:p>
    <w:p w:rsidR="0049721E" w:rsidRDefault="0049721E" w:rsidP="0049721E">
      <w:pPr>
        <w:pStyle w:val="Sinespaciado"/>
        <w:rPr>
          <w:b/>
          <w:bCs/>
        </w:rPr>
      </w:pPr>
      <w:r>
        <w:rPr>
          <w:b/>
          <w:bCs/>
        </w:rPr>
        <w:t>A</w:t>
      </w:r>
      <w:r w:rsidRPr="00CC7A5A">
        <w:rPr>
          <w:b/>
          <w:bCs/>
        </w:rPr>
        <w:t xml:space="preserve">rtículo 3° Características. </w:t>
      </w:r>
      <w:r w:rsidRPr="00CC7A5A">
        <w:t>L</w:t>
      </w:r>
      <w:r>
        <w:t xml:space="preserve">as entidades territoriales </w:t>
      </w:r>
      <w:r w:rsidRPr="00CC7A5A">
        <w:t>deberán cumplir con las características y especificaciones técnicas</w:t>
      </w:r>
      <w:r>
        <w:t xml:space="preserve"> para la instalación de bebederos de agua potable</w:t>
      </w:r>
      <w:r w:rsidRPr="00CC7A5A">
        <w:t xml:space="preserve">, que </w:t>
      </w:r>
      <w:r>
        <w:t>en un plazo</w:t>
      </w:r>
      <w:r w:rsidR="00BF32C7">
        <w:t xml:space="preserve"> de seis (6) meses </w:t>
      </w:r>
      <w:r w:rsidRPr="00CC7A5A">
        <w:t>determinen el Ministerio de Salud y Protección Social</w:t>
      </w:r>
      <w:r w:rsidR="00BF32C7">
        <w:t xml:space="preserve"> en coordinación con el </w:t>
      </w:r>
      <w:r>
        <w:t>Instituto Nacional de Salud</w:t>
      </w:r>
      <w:r w:rsidR="00BF32C7">
        <w:t xml:space="preserve"> (INS)</w:t>
      </w:r>
      <w:r>
        <w:t xml:space="preserve">, </w:t>
      </w:r>
      <w:r w:rsidR="00BF32C7">
        <w:t xml:space="preserve">conforme a </w:t>
      </w:r>
      <w:r w:rsidRPr="00CC7A5A">
        <w:t>las especificaciones necesarias de salubridad e higiene</w:t>
      </w:r>
      <w:r w:rsidR="00BF32C7">
        <w:t xml:space="preserve">. Incluyendo </w:t>
      </w:r>
      <w:r w:rsidRPr="00CC7A5A">
        <w:t>los requisitos y procedimientos de evaluación continua para garantizar su</w:t>
      </w:r>
      <w:r>
        <w:t xml:space="preserve"> </w:t>
      </w:r>
      <w:r w:rsidRPr="00CC7A5A">
        <w:t>potabilidad e inocuidad para el consumo humano.</w:t>
      </w:r>
      <w:r w:rsidRPr="00CC7A5A">
        <w:rPr>
          <w:b/>
          <w:bCs/>
        </w:rPr>
        <w:t xml:space="preserve"> </w:t>
      </w:r>
    </w:p>
    <w:p w:rsidR="0049721E" w:rsidRDefault="0049721E" w:rsidP="0049721E">
      <w:pPr>
        <w:pStyle w:val="Sinespaciado"/>
        <w:rPr>
          <w:b/>
          <w:bCs/>
        </w:rPr>
      </w:pPr>
    </w:p>
    <w:p w:rsidR="0049721E" w:rsidRDefault="00BF32C7" w:rsidP="0049721E">
      <w:pPr>
        <w:pStyle w:val="Sinespaciado"/>
      </w:pPr>
      <w:r>
        <w:rPr>
          <w:b/>
          <w:bCs/>
        </w:rPr>
        <w:t>Parágrafo</w:t>
      </w:r>
      <w:r w:rsidR="0049721E" w:rsidRPr="00CC7A5A">
        <w:rPr>
          <w:b/>
          <w:bCs/>
        </w:rPr>
        <w:t xml:space="preserve">. </w:t>
      </w:r>
      <w:r w:rsidR="0049721E" w:rsidRPr="00CC7A5A">
        <w:t>Se incluirán características y especificaciones técnicas que permitan instalar bebederos públicos para las mascotas y población animal de calle</w:t>
      </w:r>
      <w:r>
        <w:t>.</w:t>
      </w:r>
    </w:p>
    <w:p w:rsidR="0049721E" w:rsidRDefault="0049721E" w:rsidP="0049721E">
      <w:pPr>
        <w:pStyle w:val="Sinespaciado"/>
        <w:rPr>
          <w:b/>
          <w:bCs/>
        </w:rPr>
      </w:pPr>
    </w:p>
    <w:p w:rsidR="0049721E" w:rsidRDefault="0049721E" w:rsidP="0049721E">
      <w:pPr>
        <w:pStyle w:val="Sinespaciado"/>
      </w:pPr>
      <w:r>
        <w:rPr>
          <w:b/>
          <w:bCs/>
        </w:rPr>
        <w:t>A</w:t>
      </w:r>
      <w:r w:rsidRPr="00CC7A5A">
        <w:rPr>
          <w:b/>
          <w:bCs/>
        </w:rPr>
        <w:t xml:space="preserve">rtículo 4º Ajustes razonables. </w:t>
      </w:r>
      <w:r w:rsidRPr="00CC7A5A">
        <w:t>En el caso de existir bebederos de agua potable que, a pesar de ser técnicamente funcionales, pero que no cuenten con el debido acceso para las personas con discapacidad, se dispondrá de un término de dos (2) años, para realizar el ajuste razonable para que estén al servicio de esta población.</w:t>
      </w:r>
    </w:p>
    <w:p w:rsidR="0049721E" w:rsidRDefault="0049721E" w:rsidP="0049721E">
      <w:pPr>
        <w:pStyle w:val="Sinespaciado"/>
      </w:pPr>
    </w:p>
    <w:p w:rsidR="0049721E" w:rsidRDefault="0049721E" w:rsidP="0049721E">
      <w:pPr>
        <w:pStyle w:val="Sinespaciado"/>
      </w:pPr>
      <w:r w:rsidRPr="00542969">
        <w:rPr>
          <w:b/>
          <w:bCs/>
        </w:rPr>
        <w:t>Artículo 5° Ubicación.</w:t>
      </w:r>
      <w:r w:rsidRPr="00542969">
        <w:t xml:space="preserve"> Los bebederos de agua potable deben ubicarse, en espacios de bienes públicos donde haya alto flujo de personas, prioritariamente, en Instituciones Educativas Públicas; Hogares Infantiles y Centros de Desarrollo Infantil a cargo del ICBF; espacios de bienes públicos utilizados para llevar a cabo actividades culturales, recreativas o deportivas previa sensibilización de los beneficiarios y población en general del uso correcto de los mismos; cuando los espacios de bienes públicos cuenten con conexión de acueducto</w:t>
      </w:r>
      <w:r w:rsidRPr="00003C8D">
        <w:t xml:space="preserve">, la </w:t>
      </w:r>
      <w:r w:rsidRPr="00003C8D">
        <w:lastRenderedPageBreak/>
        <w:t>entidad a cargo de ese espacio público realizará las acciones pertinentes para que los bebederos se conecten  a su red propia y el consumo estará a cargo de dicha entidad</w:t>
      </w:r>
      <w:r w:rsidRPr="00542969">
        <w:t xml:space="preserve">. </w:t>
      </w:r>
    </w:p>
    <w:p w:rsidR="0049721E" w:rsidRDefault="0049721E" w:rsidP="0049721E">
      <w:pPr>
        <w:pStyle w:val="Sinespaciado"/>
      </w:pPr>
    </w:p>
    <w:p w:rsidR="0049721E" w:rsidRDefault="0049721E" w:rsidP="0049721E">
      <w:pPr>
        <w:pStyle w:val="Sinespaciado"/>
      </w:pPr>
      <w:r w:rsidRPr="00542969">
        <w:t xml:space="preserve">Los bebederos de agua potable deberán ubicarse siempre alejados de instalaciones que generen riesgos a la salud pública. </w:t>
      </w:r>
    </w:p>
    <w:p w:rsidR="00BF32C7" w:rsidRDefault="00BF32C7" w:rsidP="0049721E">
      <w:pPr>
        <w:pStyle w:val="Sinespaciado"/>
      </w:pPr>
    </w:p>
    <w:p w:rsidR="0049721E" w:rsidRDefault="0049721E" w:rsidP="0049721E">
      <w:pPr>
        <w:pStyle w:val="Sinespaciado"/>
      </w:pPr>
      <w:r w:rsidRPr="00542969">
        <w:t>En todo caso los lugares donde sean instalados los bebederos deberán ser monitoreados frecuentemente por la Secretaría de Planeación, o por la entidad competente a efecto de evitar el desuso, daños o uso inadecuados de los mismos, y en tal caso se deberán tomar las acciones de seguridad pertinentes.</w:t>
      </w:r>
    </w:p>
    <w:p w:rsidR="0049721E" w:rsidRDefault="0049721E" w:rsidP="0049721E">
      <w:pPr>
        <w:pStyle w:val="Sinespaciado"/>
        <w:rPr>
          <w:b/>
          <w:bCs/>
        </w:rPr>
      </w:pPr>
    </w:p>
    <w:p w:rsidR="0049721E" w:rsidRDefault="0049721E" w:rsidP="0049721E">
      <w:pPr>
        <w:pStyle w:val="Sinespaciado"/>
      </w:pPr>
      <w:r>
        <w:rPr>
          <w:b/>
          <w:bCs/>
        </w:rPr>
        <w:t>A</w:t>
      </w:r>
      <w:r w:rsidRPr="00542969">
        <w:rPr>
          <w:b/>
          <w:bCs/>
        </w:rPr>
        <w:t xml:space="preserve">rtículo 6° Plazo. </w:t>
      </w:r>
      <w:r w:rsidRPr="00542969">
        <w:t>Los bebederos de agua potable deben estar instalados en el transcurso de cuatro (4) años contados desde el momento de la promulgación de la presente Ley, siempre que las entidades territoriales cuenten con el presupuesto necesario para instalarlos y la cobertura de agua potable en el territorio sea superior al 95%.</w:t>
      </w:r>
    </w:p>
    <w:p w:rsidR="0049721E" w:rsidRDefault="0049721E" w:rsidP="0049721E">
      <w:pPr>
        <w:pStyle w:val="Sinespaciado"/>
        <w:rPr>
          <w:b/>
          <w:bCs/>
        </w:rPr>
      </w:pPr>
    </w:p>
    <w:p w:rsidR="0049721E" w:rsidRDefault="0049721E" w:rsidP="0049721E">
      <w:pPr>
        <w:pStyle w:val="Sinespaciado"/>
      </w:pPr>
      <w:r w:rsidRPr="00542969">
        <w:rPr>
          <w:b/>
          <w:bCs/>
        </w:rPr>
        <w:t>Artículo 7° Financiación.</w:t>
      </w:r>
      <w:r w:rsidRPr="00542969">
        <w:t xml:space="preserve"> Los bebederos de agua potable se podrán financiar con recursos de regalías, donaciones o transferencias por agua y saneamiento básico, siempre que se haya satisfecho la cobertura en materia de acceso domiciliario al agua potable para la población vulnerable de la entidad territorial, lo anterior, sin perjuicio de los recursos que bajo el principio de concurrencia la nación aporte para financiar los programas, priorizando en todo caso a los municipios con mayores dificultades fiscales.</w:t>
      </w:r>
    </w:p>
    <w:p w:rsidR="0049721E" w:rsidRDefault="0049721E" w:rsidP="0049721E">
      <w:pPr>
        <w:pStyle w:val="Sinespaciado"/>
        <w:rPr>
          <w:b/>
          <w:bCs/>
        </w:rPr>
      </w:pPr>
    </w:p>
    <w:p w:rsidR="0049721E" w:rsidRDefault="0049721E" w:rsidP="0049721E">
      <w:pPr>
        <w:pStyle w:val="Sinespaciado"/>
        <w:rPr>
          <w:b/>
          <w:bCs/>
        </w:rPr>
      </w:pPr>
      <w:r>
        <w:rPr>
          <w:b/>
          <w:bCs/>
        </w:rPr>
        <w:t>A</w:t>
      </w:r>
      <w:r w:rsidRPr="009729F9">
        <w:rPr>
          <w:b/>
          <w:bCs/>
        </w:rPr>
        <w:t xml:space="preserve">rtículo 8° Entidades Territoriales. </w:t>
      </w:r>
      <w:r w:rsidRPr="009729F9">
        <w:t>Las disposiciones previstas en la presente Ley rigen de forma obligatoria para aquellos municipios o distritos de categoría uno y/o especial, conforme a su disponibilidad presupuestal, siempre y cuando cuenten con suministro de agua potable</w:t>
      </w:r>
      <w:r w:rsidRPr="009729F9">
        <w:rPr>
          <w:b/>
          <w:bCs/>
        </w:rPr>
        <w:t>.</w:t>
      </w:r>
    </w:p>
    <w:p w:rsidR="0049721E" w:rsidRDefault="0049721E" w:rsidP="0049721E">
      <w:pPr>
        <w:pStyle w:val="Sinespaciado"/>
        <w:rPr>
          <w:b/>
          <w:bCs/>
        </w:rPr>
      </w:pPr>
    </w:p>
    <w:p w:rsidR="0049721E" w:rsidRPr="00003C8D" w:rsidRDefault="0049721E" w:rsidP="0049721E">
      <w:pPr>
        <w:pStyle w:val="Sinespaciado"/>
        <w:rPr>
          <w:rFonts w:eastAsia="Arial"/>
          <w:bCs/>
        </w:rPr>
      </w:pPr>
      <w:r>
        <w:rPr>
          <w:b/>
          <w:bCs/>
        </w:rPr>
        <w:t>P</w:t>
      </w:r>
      <w:r w:rsidRPr="009729F9">
        <w:rPr>
          <w:b/>
          <w:bCs/>
        </w:rPr>
        <w:t xml:space="preserve">arágrafo. </w:t>
      </w:r>
      <w:r w:rsidRPr="009729F9">
        <w:t>En las demás categorías municipales se podrá realizar la instalación de bebedores de manera progresiva de acuerdo con el marco fiscal de mediano plazo y la priorización realizada por la oficina de planeación o quien haga sus veces, contando siempre con criterios demográficos y de suministro al agua potable, siempre que cuenten con la disponibilidad presupuestal y la cobertura de acueducto sea superior al 90%.</w:t>
      </w:r>
    </w:p>
    <w:p w:rsidR="0049721E" w:rsidRDefault="0049721E" w:rsidP="0049721E">
      <w:pPr>
        <w:pStyle w:val="Sinespaciado"/>
        <w:rPr>
          <w:rFonts w:eastAsia="Constantia"/>
          <w:color w:val="000000"/>
        </w:rPr>
      </w:pPr>
    </w:p>
    <w:p w:rsidR="0049721E" w:rsidRPr="00820CE1" w:rsidRDefault="0049721E" w:rsidP="0049721E">
      <w:pPr>
        <w:pStyle w:val="Sinespaciado"/>
        <w:rPr>
          <w:rFonts w:eastAsia="Constantia"/>
          <w:color w:val="000000"/>
        </w:rPr>
      </w:pPr>
      <w:r>
        <w:rPr>
          <w:b/>
          <w:bCs/>
        </w:rPr>
        <w:t>A</w:t>
      </w:r>
      <w:r w:rsidRPr="009729F9">
        <w:rPr>
          <w:b/>
          <w:bCs/>
        </w:rPr>
        <w:t xml:space="preserve">rtículo 9° Vigencia y derogatorias. </w:t>
      </w:r>
      <w:r w:rsidRPr="009729F9">
        <w:t>La presente Ley rige a partir de su promulgación y deroga las</w:t>
      </w:r>
      <w:r w:rsidRPr="009729F9">
        <w:rPr>
          <w:b/>
          <w:bCs/>
        </w:rPr>
        <w:t xml:space="preserve"> </w:t>
      </w:r>
      <w:r w:rsidRPr="009729F9">
        <w:t>disposiciones que le sean contrarias.</w:t>
      </w:r>
    </w:p>
    <w:p w:rsidR="002E6C1D" w:rsidRDefault="00722B7D" w:rsidP="00722B7D">
      <w:pPr>
        <w:pStyle w:val="Sinespaciado"/>
      </w:pPr>
      <w:r w:rsidRPr="0068253E">
        <w:rPr>
          <w:rFonts w:cs="Arial"/>
          <w:b/>
        </w:rPr>
        <w:cr/>
      </w:r>
      <w:r w:rsidR="002E6C1D">
        <w:t xml:space="preserve"> </w:t>
      </w:r>
    </w:p>
    <w:p w:rsidR="00F718B4" w:rsidRDefault="00F718B4" w:rsidP="008A36E1">
      <w:pPr>
        <w:pStyle w:val="Sinespaciado"/>
        <w:rPr>
          <w:rFonts w:cs="Arial"/>
          <w:color w:val="000000"/>
        </w:rPr>
      </w:pPr>
    </w:p>
    <w:p w:rsidR="00F718B4" w:rsidRDefault="00F718B4" w:rsidP="00FC1DEF">
      <w:pPr>
        <w:pStyle w:val="Sinespaciado"/>
        <w:rPr>
          <w:rFonts w:cs="Arial"/>
          <w:color w:val="000000"/>
        </w:rPr>
      </w:pPr>
    </w:p>
    <w:p w:rsidR="00F718B4" w:rsidRDefault="00F718B4" w:rsidP="00FC1DEF">
      <w:pPr>
        <w:pStyle w:val="Sinespaciado"/>
        <w:rPr>
          <w:rFonts w:cs="Arial"/>
          <w:color w:val="000000"/>
        </w:rPr>
      </w:pPr>
    </w:p>
    <w:p w:rsidR="006A6E00" w:rsidRDefault="006A6E00" w:rsidP="00FC1DEF">
      <w:pPr>
        <w:pStyle w:val="Sinespaciado"/>
        <w:rPr>
          <w:rFonts w:cs="Arial"/>
          <w:color w:val="000000"/>
        </w:rPr>
      </w:pPr>
    </w:p>
    <w:p w:rsidR="0049721E" w:rsidRDefault="0049721E" w:rsidP="0049721E">
      <w:pPr>
        <w:pStyle w:val="Sinespaciado"/>
        <w:spacing w:line="240" w:lineRule="atLeast"/>
        <w:jc w:val="center"/>
        <w:rPr>
          <w:rFonts w:cs="Arial"/>
          <w:b/>
          <w:sz w:val="23"/>
          <w:szCs w:val="23"/>
        </w:rPr>
      </w:pPr>
      <w:r>
        <w:rPr>
          <w:rFonts w:cs="Arial"/>
          <w:b/>
          <w:sz w:val="23"/>
          <w:szCs w:val="23"/>
        </w:rPr>
        <w:t>Germán Rogelio Rozo Anís</w:t>
      </w:r>
    </w:p>
    <w:p w:rsidR="004D631D" w:rsidRPr="00BF32C7" w:rsidRDefault="000D59FE" w:rsidP="00BF32C7">
      <w:pPr>
        <w:pStyle w:val="Sinespaciado"/>
        <w:spacing w:line="240" w:lineRule="atLeast"/>
        <w:jc w:val="center"/>
        <w:rPr>
          <w:rFonts w:eastAsia="Arial" w:cs="Arial"/>
          <w:b/>
          <w:color w:val="000000"/>
          <w:sz w:val="23"/>
          <w:szCs w:val="23"/>
        </w:rPr>
      </w:pPr>
      <w:r w:rsidRPr="000D59FE">
        <w:rPr>
          <w:rFonts w:cs="Arial"/>
          <w:sz w:val="23"/>
          <w:szCs w:val="23"/>
        </w:rPr>
        <w:t>Representante a la Cámara</w:t>
      </w:r>
      <w:bookmarkStart w:id="0" w:name="_GoBack"/>
      <w:bookmarkEnd w:id="0"/>
    </w:p>
    <w:sectPr w:rsidR="004D631D" w:rsidRPr="00BF32C7" w:rsidSect="004F0BC8">
      <w:headerReference w:type="default" r:id="rId9"/>
      <w:footerReference w:type="default" r:id="rId10"/>
      <w:type w:val="continuous"/>
      <w:pgSz w:w="12240" w:h="15840" w:code="1"/>
      <w:pgMar w:top="1701" w:right="1418" w:bottom="794" w:left="1701"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18D" w:rsidRDefault="008F518D">
      <w:pPr>
        <w:spacing w:after="0" w:line="240" w:lineRule="auto"/>
      </w:pPr>
      <w:r>
        <w:separator/>
      </w:r>
    </w:p>
  </w:endnote>
  <w:endnote w:type="continuationSeparator" w:id="0">
    <w:p w:rsidR="008F518D" w:rsidRDefault="008F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49721E">
      <w:rPr>
        <w:rFonts w:ascii="Arial" w:hAnsi="Arial" w:cs="Arial"/>
        <w:color w:val="4F81BD" w:themeColor="accent1"/>
        <w:sz w:val="16"/>
        <w:szCs w:val="16"/>
        <w:lang w:val="es-ES"/>
      </w:rPr>
      <w:t>208</w:t>
    </w:r>
    <w:r>
      <w:rPr>
        <w:rFonts w:ascii="Arial" w:hAnsi="Arial" w:cs="Arial"/>
        <w:color w:val="4F81BD" w:themeColor="accent1"/>
        <w:sz w:val="16"/>
        <w:szCs w:val="16"/>
        <w:lang w:val="es-ES"/>
      </w:rPr>
      <w:t xml:space="preserve">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BF32C7" w:rsidRPr="00BF32C7">
      <w:rPr>
        <w:rFonts w:ascii="Arial" w:hAnsi="Arial" w:cs="Arial"/>
        <w:noProof/>
        <w:color w:val="4F81BD" w:themeColor="accent1"/>
        <w:sz w:val="16"/>
        <w:szCs w:val="16"/>
        <w:lang w:val="es-ES"/>
      </w:rPr>
      <w:t>1</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BF32C7" w:rsidRPr="00BF32C7">
      <w:rPr>
        <w:rFonts w:ascii="Arial" w:hAnsi="Arial" w:cs="Arial"/>
        <w:noProof/>
        <w:color w:val="4F81BD" w:themeColor="accent1"/>
        <w:sz w:val="16"/>
        <w:szCs w:val="16"/>
        <w:lang w:val="es-ES"/>
      </w:rPr>
      <w:t>2</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18D" w:rsidRDefault="008F518D">
      <w:pPr>
        <w:spacing w:after="0" w:line="240" w:lineRule="auto"/>
      </w:pPr>
      <w:r>
        <w:separator/>
      </w:r>
    </w:p>
  </w:footnote>
  <w:footnote w:type="continuationSeparator" w:id="0">
    <w:p w:rsidR="008F518D" w:rsidRDefault="008F5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D4049"/>
    <w:rsid w:val="000D59FE"/>
    <w:rsid w:val="000F3249"/>
    <w:rsid w:val="000F3F41"/>
    <w:rsid w:val="00102AC9"/>
    <w:rsid w:val="00106067"/>
    <w:rsid w:val="001303C3"/>
    <w:rsid w:val="00134E23"/>
    <w:rsid w:val="00141A7E"/>
    <w:rsid w:val="00145732"/>
    <w:rsid w:val="001826C3"/>
    <w:rsid w:val="00193E1C"/>
    <w:rsid w:val="001B1C28"/>
    <w:rsid w:val="001B6E7B"/>
    <w:rsid w:val="001C10AB"/>
    <w:rsid w:val="00217B1E"/>
    <w:rsid w:val="00227978"/>
    <w:rsid w:val="00245986"/>
    <w:rsid w:val="00273C01"/>
    <w:rsid w:val="00290644"/>
    <w:rsid w:val="002A1BAF"/>
    <w:rsid w:val="002E6C1D"/>
    <w:rsid w:val="00330383"/>
    <w:rsid w:val="00332B24"/>
    <w:rsid w:val="00344B4D"/>
    <w:rsid w:val="00375224"/>
    <w:rsid w:val="00392FE1"/>
    <w:rsid w:val="003B3F8A"/>
    <w:rsid w:val="003C3541"/>
    <w:rsid w:val="003C5D20"/>
    <w:rsid w:val="003D08DE"/>
    <w:rsid w:val="00401837"/>
    <w:rsid w:val="00484475"/>
    <w:rsid w:val="0049721E"/>
    <w:rsid w:val="004B0124"/>
    <w:rsid w:val="004D631D"/>
    <w:rsid w:val="004F0BC8"/>
    <w:rsid w:val="005004BD"/>
    <w:rsid w:val="00523CF6"/>
    <w:rsid w:val="00533F5F"/>
    <w:rsid w:val="00545AF9"/>
    <w:rsid w:val="0057061D"/>
    <w:rsid w:val="005970FF"/>
    <w:rsid w:val="005B79B2"/>
    <w:rsid w:val="006020FC"/>
    <w:rsid w:val="0066551C"/>
    <w:rsid w:val="00676A02"/>
    <w:rsid w:val="006A6E00"/>
    <w:rsid w:val="006A6E52"/>
    <w:rsid w:val="006D531F"/>
    <w:rsid w:val="006E594C"/>
    <w:rsid w:val="00703BB5"/>
    <w:rsid w:val="00722B7D"/>
    <w:rsid w:val="00751A35"/>
    <w:rsid w:val="00767847"/>
    <w:rsid w:val="00780935"/>
    <w:rsid w:val="00793F4D"/>
    <w:rsid w:val="007D2959"/>
    <w:rsid w:val="007D3C92"/>
    <w:rsid w:val="0083265E"/>
    <w:rsid w:val="00874E4E"/>
    <w:rsid w:val="008A36E1"/>
    <w:rsid w:val="008A4907"/>
    <w:rsid w:val="008A4A9B"/>
    <w:rsid w:val="008C5481"/>
    <w:rsid w:val="008E2412"/>
    <w:rsid w:val="008E689B"/>
    <w:rsid w:val="008F518D"/>
    <w:rsid w:val="00900D93"/>
    <w:rsid w:val="00931B69"/>
    <w:rsid w:val="00980D46"/>
    <w:rsid w:val="00984A08"/>
    <w:rsid w:val="009A5477"/>
    <w:rsid w:val="009B5502"/>
    <w:rsid w:val="009E1B8B"/>
    <w:rsid w:val="009E3F42"/>
    <w:rsid w:val="00A10DC4"/>
    <w:rsid w:val="00A16412"/>
    <w:rsid w:val="00A260C7"/>
    <w:rsid w:val="00A27D65"/>
    <w:rsid w:val="00A549FD"/>
    <w:rsid w:val="00A5673E"/>
    <w:rsid w:val="00AA5167"/>
    <w:rsid w:val="00AC09C4"/>
    <w:rsid w:val="00AC2952"/>
    <w:rsid w:val="00AF4493"/>
    <w:rsid w:val="00B31264"/>
    <w:rsid w:val="00B4204B"/>
    <w:rsid w:val="00B47081"/>
    <w:rsid w:val="00B57363"/>
    <w:rsid w:val="00BA2504"/>
    <w:rsid w:val="00BA6354"/>
    <w:rsid w:val="00BF32C7"/>
    <w:rsid w:val="00BF5872"/>
    <w:rsid w:val="00BF5DE4"/>
    <w:rsid w:val="00C04298"/>
    <w:rsid w:val="00C0783C"/>
    <w:rsid w:val="00C10A0F"/>
    <w:rsid w:val="00C24F1B"/>
    <w:rsid w:val="00C25E24"/>
    <w:rsid w:val="00C64587"/>
    <w:rsid w:val="00C85EE9"/>
    <w:rsid w:val="00CA7A0C"/>
    <w:rsid w:val="00D16302"/>
    <w:rsid w:val="00D410FE"/>
    <w:rsid w:val="00D65C9D"/>
    <w:rsid w:val="00D7787B"/>
    <w:rsid w:val="00DC1FF5"/>
    <w:rsid w:val="00E02D4A"/>
    <w:rsid w:val="00E2082D"/>
    <w:rsid w:val="00E27292"/>
    <w:rsid w:val="00EB3579"/>
    <w:rsid w:val="00EF5B1B"/>
    <w:rsid w:val="00F04E2C"/>
    <w:rsid w:val="00F25E2F"/>
    <w:rsid w:val="00F42CA9"/>
    <w:rsid w:val="00F50D3E"/>
    <w:rsid w:val="00F66F0B"/>
    <w:rsid w:val="00F67633"/>
    <w:rsid w:val="00F718B4"/>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5C5A"/>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B1B8FA-ECE0-4D45-90AC-5AB81EF0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780</Words>
  <Characters>4294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cp:revision>
  <cp:lastPrinted>2022-11-28T15:09:00Z</cp:lastPrinted>
  <dcterms:created xsi:type="dcterms:W3CDTF">2025-03-26T20:32:00Z</dcterms:created>
  <dcterms:modified xsi:type="dcterms:W3CDTF">2025-03-26T20:57:00Z</dcterms:modified>
</cp:coreProperties>
</file>